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90" w:rsidRPr="00A67790" w:rsidRDefault="00A67790" w:rsidP="00A67790">
      <w:pPr>
        <w:autoSpaceDE w:val="0"/>
        <w:autoSpaceDN w:val="0"/>
        <w:adjustRightInd w:val="0"/>
        <w:ind w:left="-426" w:firstLine="966"/>
        <w:jc w:val="center"/>
        <w:rPr>
          <w:b/>
          <w:sz w:val="26"/>
          <w:szCs w:val="26"/>
        </w:rPr>
      </w:pPr>
      <w:r w:rsidRPr="00A67790">
        <w:rPr>
          <w:b/>
          <w:sz w:val="26"/>
          <w:szCs w:val="26"/>
        </w:rPr>
        <w:t xml:space="preserve">ИНФОРМАЦИОННОЕ ПИСЬМО </w:t>
      </w:r>
    </w:p>
    <w:p w:rsidR="00406E55" w:rsidRDefault="00A67790" w:rsidP="00A67790">
      <w:pPr>
        <w:autoSpaceDE w:val="0"/>
        <w:autoSpaceDN w:val="0"/>
        <w:adjustRightInd w:val="0"/>
        <w:ind w:left="-426" w:firstLine="966"/>
        <w:jc w:val="center"/>
        <w:rPr>
          <w:b/>
          <w:sz w:val="26"/>
          <w:szCs w:val="26"/>
        </w:rPr>
      </w:pPr>
      <w:r w:rsidRPr="00A67790">
        <w:rPr>
          <w:b/>
          <w:sz w:val="26"/>
          <w:szCs w:val="26"/>
        </w:rPr>
        <w:t xml:space="preserve">для налогоплательщиков предоставляющих декларации по УСНО </w:t>
      </w:r>
    </w:p>
    <w:p w:rsidR="00A67790" w:rsidRPr="00A67790" w:rsidRDefault="00A67790" w:rsidP="00A67790">
      <w:pPr>
        <w:autoSpaceDE w:val="0"/>
        <w:autoSpaceDN w:val="0"/>
        <w:adjustRightInd w:val="0"/>
        <w:ind w:left="-426" w:firstLine="966"/>
        <w:jc w:val="center"/>
        <w:rPr>
          <w:b/>
          <w:sz w:val="26"/>
          <w:szCs w:val="26"/>
        </w:rPr>
      </w:pPr>
      <w:r w:rsidRPr="00A67790">
        <w:rPr>
          <w:b/>
          <w:sz w:val="26"/>
          <w:szCs w:val="26"/>
        </w:rPr>
        <w:t>на бумажных носителя</w:t>
      </w:r>
      <w:r w:rsidR="00406E55">
        <w:rPr>
          <w:b/>
          <w:sz w:val="26"/>
          <w:szCs w:val="26"/>
        </w:rPr>
        <w:t>х</w:t>
      </w:r>
      <w:bookmarkStart w:id="0" w:name="_GoBack"/>
      <w:bookmarkEnd w:id="0"/>
    </w:p>
    <w:p w:rsidR="00A67790" w:rsidRPr="001C38C7" w:rsidRDefault="00A67790" w:rsidP="00A67790">
      <w:pPr>
        <w:autoSpaceDE w:val="0"/>
        <w:autoSpaceDN w:val="0"/>
        <w:adjustRightInd w:val="0"/>
        <w:ind w:left="-426" w:firstLine="966"/>
        <w:jc w:val="both"/>
      </w:pPr>
    </w:p>
    <w:p w:rsidR="00A67790" w:rsidRPr="001C38C7" w:rsidRDefault="00A67790" w:rsidP="00A67790">
      <w:pPr>
        <w:autoSpaceDE w:val="0"/>
        <w:autoSpaceDN w:val="0"/>
        <w:adjustRightInd w:val="0"/>
        <w:ind w:left="-426" w:firstLine="966"/>
        <w:jc w:val="both"/>
      </w:pPr>
      <w:proofErr w:type="gramStart"/>
      <w:r w:rsidRPr="001C38C7">
        <w:t>Межрайонная</w:t>
      </w:r>
      <w:proofErr w:type="gramEnd"/>
      <w:r w:rsidRPr="001C38C7">
        <w:t xml:space="preserve"> ИФНС России № 8 по Хабаровскому краю в целях оперативного и качественного взаимодействия с налоговыми органами, рекомендует Вам предоставление налоговой и бухгалтерской отчетности в налоговые органы с использованием телекоммуникационных каналов связи (далее – ТКС). </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Преимуществами представления отчетности по ТКС являются:</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экономия рабочего времени (нет необходимости посещать налоговую инспекцию);</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отсутствие ошибок (при формировании налоговых деклараций, иных документов, служащих основанием для исчисления и уплаты налогов, и бухгалтерской отчетности с использованием сре</w:t>
      </w:r>
      <w:proofErr w:type="gramStart"/>
      <w:r w:rsidRPr="001C38C7">
        <w:rPr>
          <w:rFonts w:eastAsia="Calibri"/>
        </w:rPr>
        <w:t>дств вх</w:t>
      </w:r>
      <w:proofErr w:type="gramEnd"/>
      <w:r w:rsidRPr="001C38C7">
        <w:rPr>
          <w:rFonts w:eastAsia="Calibri"/>
        </w:rPr>
        <w:t>одного контроля налогоплательщику предоставляется возможность ее подготовки в формате с контролем заполнения полей форм отчетности);</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возможность оперативного обновления форматов представления документов в электронном виде по телекоммуникационным каналам связи (в случае изменения форм налоговых деклараций, иных документов, служащих основанием для исчисления и уплаты налогов, и бухгалтерской отчетности или введения новых форм деклараций налогоплательщик автоматически получает возможность обновления версий форматов);</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возможность получения информации о состоянии расчетов налогоплательщика по налогам, сборам, страховым взносам на обязательное пенсионное страхование;</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подтверждение доставки отчетности (налоговый орган высылает протокол о приеме налоговых деклараций, бухгалтерской отчетности в электронном виде по телекоммуникационным каналам связи);</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конфиденциальность;</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оперативное информирование (возможность получения общедоступной информации от налоговых органов, например, о действующих налогах и сборах, законодательстве о налогах и сборах и принятых в соответствии с ним нормативных правовых актах и др.).</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Таким образом, направляя отчетность по ТКС, Вы расширяете свои возможности взаимодействия с налоговыми органами без личного посещения Инспекции.</w:t>
      </w:r>
    </w:p>
    <w:p w:rsidR="00A67790" w:rsidRPr="001C38C7" w:rsidRDefault="00A67790" w:rsidP="00A67790">
      <w:pPr>
        <w:autoSpaceDE w:val="0"/>
        <w:autoSpaceDN w:val="0"/>
        <w:adjustRightInd w:val="0"/>
        <w:ind w:left="-426" w:firstLine="966"/>
        <w:jc w:val="both"/>
        <w:rPr>
          <w:rFonts w:eastAsia="Calibri"/>
          <w:b/>
        </w:rPr>
      </w:pPr>
      <w:r w:rsidRPr="001C38C7">
        <w:rPr>
          <w:rFonts w:eastAsia="Calibri"/>
        </w:rPr>
        <w:t xml:space="preserve">Для того чтобы перейти на электронный способ подачи отчетности по ТКС необходимо: иметь компьютер с выходом в интернет, выбрать оператора электронного документооборота, заключить с ним договор и приобрести усиленную квалифицированную подпись в любом удостоверяющем центре. Информация о действующих специализированных операторах электронного документооборота доступна </w:t>
      </w:r>
      <w:r w:rsidRPr="001C38C7">
        <w:rPr>
          <w:rFonts w:eastAsia="Calibri"/>
          <w:b/>
        </w:rPr>
        <w:t>на сайте ФНС России www.nalog.</w:t>
      </w:r>
      <w:proofErr w:type="spellStart"/>
      <w:r w:rsidRPr="001C38C7">
        <w:rPr>
          <w:rFonts w:eastAsia="Calibri"/>
          <w:b/>
          <w:lang w:val="en-US"/>
        </w:rPr>
        <w:t>gov</w:t>
      </w:r>
      <w:proofErr w:type="spellEnd"/>
      <w:r w:rsidRPr="001C38C7">
        <w:rPr>
          <w:rFonts w:eastAsia="Calibri"/>
          <w:b/>
        </w:rPr>
        <w:t>.</w:t>
      </w:r>
      <w:proofErr w:type="spellStart"/>
      <w:r w:rsidRPr="001C38C7">
        <w:rPr>
          <w:rFonts w:eastAsia="Calibri"/>
          <w:b/>
        </w:rPr>
        <w:t>ru</w:t>
      </w:r>
      <w:proofErr w:type="spellEnd"/>
      <w:r w:rsidRPr="001C38C7">
        <w:rPr>
          <w:rFonts w:eastAsia="Calibri"/>
          <w:b/>
        </w:rPr>
        <w:t xml:space="preserve"> «Организации – операторы электронного документооборота».</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xml:space="preserve">Кроме того, сообщаем, что в настоящее время </w:t>
      </w:r>
      <w:r w:rsidRPr="001C38C7">
        <w:rPr>
          <w:rFonts w:eastAsia="Calibri"/>
          <w:b/>
        </w:rPr>
        <w:t>ФНС России осуществляет выдачу бесплатной квалифицированной электронной подписи (далее - КЭП)</w:t>
      </w:r>
      <w:r w:rsidRPr="001C38C7">
        <w:rPr>
          <w:rFonts w:eastAsia="Calibri"/>
        </w:rPr>
        <w:t xml:space="preserve"> в налоговой инспекции. Получить квалифицированный сертификат ключа проверки электронной подписи (далее - КСКПЭП) могут нотариусы, руководители ЮЛ и ИП. КЭП используется на всех электронных площадках и сервисах ФНС России, в том числе для предоставления налоговых деклараций (расчетов): через оператора электронного документооборота; </w:t>
      </w:r>
      <w:r w:rsidRPr="001C38C7">
        <w:rPr>
          <w:rFonts w:eastAsia="Calibri"/>
          <w:b/>
        </w:rPr>
        <w:t>через сервис «Представление налоговой отчетности в электронной форме»</w:t>
      </w:r>
      <w:r w:rsidRPr="001C38C7">
        <w:rPr>
          <w:rFonts w:eastAsia="Calibri"/>
        </w:rPr>
        <w:t xml:space="preserve"> </w:t>
      </w:r>
      <w:r w:rsidRPr="001C38C7">
        <w:rPr>
          <w:rFonts w:eastAsia="Calibri"/>
          <w:b/>
        </w:rPr>
        <w:t>на сайте ФНС России www.nalog.</w:t>
      </w:r>
      <w:proofErr w:type="spellStart"/>
      <w:r w:rsidRPr="001C38C7">
        <w:rPr>
          <w:rFonts w:eastAsia="Calibri"/>
          <w:b/>
          <w:lang w:val="en-US"/>
        </w:rPr>
        <w:t>gov</w:t>
      </w:r>
      <w:proofErr w:type="spellEnd"/>
      <w:r w:rsidRPr="001C38C7">
        <w:rPr>
          <w:rFonts w:eastAsia="Calibri"/>
          <w:b/>
        </w:rPr>
        <w:t>.</w:t>
      </w:r>
      <w:proofErr w:type="spellStart"/>
      <w:r w:rsidRPr="001C38C7">
        <w:rPr>
          <w:rFonts w:eastAsia="Calibri"/>
          <w:b/>
        </w:rPr>
        <w:t>ru</w:t>
      </w:r>
      <w:proofErr w:type="spellEnd"/>
      <w:r w:rsidRPr="001C38C7">
        <w:rPr>
          <w:rFonts w:eastAsia="Calibri"/>
          <w:b/>
        </w:rPr>
        <w:t>.</w:t>
      </w:r>
    </w:p>
    <w:p w:rsidR="00A67790" w:rsidRPr="001C38C7" w:rsidRDefault="00A67790" w:rsidP="00A67790">
      <w:pPr>
        <w:autoSpaceDE w:val="0"/>
        <w:autoSpaceDN w:val="0"/>
        <w:adjustRightInd w:val="0"/>
        <w:ind w:left="-426" w:firstLine="966"/>
        <w:jc w:val="both"/>
        <w:rPr>
          <w:rFonts w:eastAsia="Calibri"/>
        </w:rPr>
      </w:pPr>
      <w:r w:rsidRPr="001C38C7">
        <w:rPr>
          <w:rFonts w:eastAsia="Calibri"/>
        </w:rPr>
        <w:t xml:space="preserve">Дополнительно сообщаем, что в настоящее время в единой информационной базе Федеральной налоговой службы функционируют более семидесяти электронных сервисов, которые позволяют получить целый ряд услуг, не посещая налоговую инспекцию. Федеральная налоговая служба представляет широкий спектр электронных сервисов на официальном сайте </w:t>
      </w:r>
      <w:r w:rsidRPr="001C38C7">
        <w:rPr>
          <w:rFonts w:eastAsia="Calibri"/>
          <w:b/>
        </w:rPr>
        <w:t>www.nalog.</w:t>
      </w:r>
      <w:proofErr w:type="spellStart"/>
      <w:r w:rsidRPr="001C38C7">
        <w:rPr>
          <w:rFonts w:eastAsia="Calibri"/>
          <w:b/>
          <w:lang w:val="en-US"/>
        </w:rPr>
        <w:t>gov</w:t>
      </w:r>
      <w:proofErr w:type="spellEnd"/>
      <w:r w:rsidRPr="001C38C7">
        <w:rPr>
          <w:rFonts w:eastAsia="Calibri"/>
          <w:b/>
        </w:rPr>
        <w:t>.</w:t>
      </w:r>
      <w:proofErr w:type="spellStart"/>
      <w:r w:rsidRPr="001C38C7">
        <w:rPr>
          <w:rFonts w:eastAsia="Calibri"/>
          <w:b/>
        </w:rPr>
        <w:t>ru</w:t>
      </w:r>
      <w:proofErr w:type="spellEnd"/>
      <w:r>
        <w:rPr>
          <w:rFonts w:eastAsia="Calibri"/>
          <w:b/>
        </w:rPr>
        <w:t>.</w:t>
      </w:r>
    </w:p>
    <w:p w:rsidR="000A5ED7" w:rsidRDefault="000A5ED7"/>
    <w:sectPr w:rsidR="000A5ED7" w:rsidSect="004B4EEE">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90"/>
    <w:rsid w:val="000A5ED7"/>
    <w:rsid w:val="00406E55"/>
    <w:rsid w:val="00A6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Кручинина Елена Станиславовна</dc:creator>
  <cp:lastModifiedBy>Кручинина Елена Станиславовна</cp:lastModifiedBy>
  <cp:revision>2</cp:revision>
  <cp:lastPrinted>2022-03-17T23:46:00Z</cp:lastPrinted>
  <dcterms:created xsi:type="dcterms:W3CDTF">2022-03-17T23:15:00Z</dcterms:created>
  <dcterms:modified xsi:type="dcterms:W3CDTF">2022-03-17T23:46:00Z</dcterms:modified>
</cp:coreProperties>
</file>